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F0" w:rsidRPr="00B91DF0" w:rsidRDefault="00B91DF0" w:rsidP="00B91DF0">
      <w:pPr>
        <w:pBdr>
          <w:bottom w:val="single" w:sz="12" w:space="10" w:color="7B7F84"/>
        </w:pBdr>
        <w:shd w:val="clear" w:color="auto" w:fill="FFFFFF"/>
        <w:spacing w:after="0" w:line="240" w:lineRule="auto"/>
        <w:outlineLvl w:val="1"/>
        <w:rPr>
          <w:rFonts w:ascii="Arial" w:eastAsia="Times New Roman" w:hAnsi="Arial" w:cs="Arial"/>
          <w:b/>
          <w:bCs/>
          <w:color w:val="444444"/>
          <w:sz w:val="29"/>
          <w:szCs w:val="29"/>
          <w:lang w:eastAsia="sk-SK"/>
        </w:rPr>
      </w:pPr>
      <w:r w:rsidRPr="00B91DF0">
        <w:rPr>
          <w:rFonts w:ascii="Arial" w:eastAsia="Times New Roman" w:hAnsi="Arial" w:cs="Arial"/>
          <w:b/>
          <w:bCs/>
          <w:color w:val="444444"/>
          <w:sz w:val="29"/>
          <w:szCs w:val="29"/>
          <w:lang w:eastAsia="sk-SK"/>
        </w:rPr>
        <w:t xml:space="preserve">Aktuálne informácie Sociálnej poisťovne k </w:t>
      </w:r>
      <w:proofErr w:type="spellStart"/>
      <w:r w:rsidRPr="00B91DF0">
        <w:rPr>
          <w:rFonts w:ascii="Arial" w:eastAsia="Times New Roman" w:hAnsi="Arial" w:cs="Arial"/>
          <w:b/>
          <w:bCs/>
          <w:color w:val="444444"/>
          <w:sz w:val="29"/>
          <w:szCs w:val="29"/>
          <w:lang w:eastAsia="sk-SK"/>
        </w:rPr>
        <w:t>pandemickej</w:t>
      </w:r>
      <w:proofErr w:type="spellEnd"/>
      <w:r w:rsidRPr="00B91DF0">
        <w:rPr>
          <w:rFonts w:ascii="Arial" w:eastAsia="Times New Roman" w:hAnsi="Arial" w:cs="Arial"/>
          <w:b/>
          <w:bCs/>
          <w:color w:val="444444"/>
          <w:sz w:val="29"/>
          <w:szCs w:val="29"/>
          <w:lang w:eastAsia="sk-SK"/>
        </w:rPr>
        <w:t xml:space="preserve"> OČR</w:t>
      </w:r>
      <w:r w:rsidRPr="00B91DF0">
        <w:rPr>
          <w:rFonts w:ascii="Arial" w:eastAsia="Times New Roman" w:hAnsi="Arial" w:cs="Arial"/>
          <w:b/>
          <w:bCs/>
          <w:noProof/>
          <w:color w:val="075590"/>
          <w:sz w:val="29"/>
          <w:szCs w:val="29"/>
          <w:lang w:eastAsia="sk-SK"/>
        </w:rPr>
        <w:drawing>
          <wp:inline distT="0" distB="0" distL="0" distR="0" wp14:anchorId="7CC00985" wp14:editId="618215C0">
            <wp:extent cx="152400" cy="152400"/>
            <wp:effectExtent l="0" t="0" r="0" b="0"/>
            <wp:docPr id="1" name="Obrázok 1" descr="Vytlačiť">
              <a:hlinkClick xmlns:a="http://schemas.openxmlformats.org/drawingml/2006/main" r:id="rId4" tooltip="&quot;Vy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lačiť">
                      <a:hlinkClick r:id="rId4" tooltip="&quot;Vy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1DF0">
        <w:rPr>
          <w:rFonts w:ascii="Arial" w:eastAsia="Times New Roman" w:hAnsi="Arial" w:cs="Arial"/>
          <w:b/>
          <w:bCs/>
          <w:color w:val="444444"/>
          <w:sz w:val="2"/>
          <w:szCs w:val="2"/>
          <w:lang w:eastAsia="sk-SK"/>
        </w:rPr>
        <w:br w:type="textWrapping" w:clear="all"/>
        <w:t> </w:t>
      </w:r>
    </w:p>
    <w:p w:rsidR="00B91DF0" w:rsidRPr="00B91DF0" w:rsidRDefault="00B91DF0" w:rsidP="00B91DF0">
      <w:pPr>
        <w:shd w:val="clear" w:color="auto" w:fill="FFFFFF"/>
        <w:spacing w:after="0" w:line="324" w:lineRule="atLeast"/>
        <w:jc w:val="both"/>
        <w:rPr>
          <w:rFonts w:ascii="Arial" w:eastAsia="Times New Roman" w:hAnsi="Arial" w:cs="Arial"/>
          <w:color w:val="000000"/>
          <w:lang w:eastAsia="sk-SK"/>
        </w:rPr>
      </w:pPr>
      <w:bookmarkStart w:id="0" w:name="_GoBack"/>
      <w:r w:rsidRPr="00B91DF0">
        <w:rPr>
          <w:rFonts w:ascii="Arial" w:eastAsia="Times New Roman" w:hAnsi="Arial" w:cs="Arial"/>
          <w:b/>
          <w:bCs/>
          <w:noProof/>
          <w:color w:val="000000"/>
          <w:lang w:eastAsia="sk-SK"/>
        </w:rPr>
        <w:drawing>
          <wp:inline distT="0" distB="0" distL="0" distR="0" wp14:anchorId="6E3A31CB" wp14:editId="0797628F">
            <wp:extent cx="4457700" cy="2978554"/>
            <wp:effectExtent l="0" t="0" r="0" b="0"/>
            <wp:docPr id="2" name="Obrázok 2" descr="Aktuálne informácie Sociálnej poisťovne k pandemickej OČ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uálne informácie Sociálnej poisťovne k pandemickej OČ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9414" cy="2993063"/>
                    </a:xfrm>
                    <a:prstGeom prst="rect">
                      <a:avLst/>
                    </a:prstGeom>
                    <a:noFill/>
                    <a:ln>
                      <a:noFill/>
                    </a:ln>
                  </pic:spPr>
                </pic:pic>
              </a:graphicData>
            </a:graphic>
          </wp:inline>
        </w:drawing>
      </w:r>
      <w:bookmarkEnd w:id="0"/>
      <w:r w:rsidRPr="00B91DF0">
        <w:rPr>
          <w:rFonts w:ascii="Arial" w:eastAsia="Times New Roman" w:hAnsi="Arial" w:cs="Arial"/>
          <w:b/>
          <w:bCs/>
          <w:color w:val="000000"/>
          <w:lang w:eastAsia="sk-SK"/>
        </w:rPr>
        <w:t xml:space="preserve">Bratislava – 27. februára 2021 – Sociálna poisťovňa informuje kedy potvrdenie školy, že dieťa sa vzdeláva dištančne, na nárok na </w:t>
      </w:r>
      <w:proofErr w:type="spellStart"/>
      <w:r w:rsidRPr="00B91DF0">
        <w:rPr>
          <w:rFonts w:ascii="Arial" w:eastAsia="Times New Roman" w:hAnsi="Arial" w:cs="Arial"/>
          <w:b/>
          <w:bCs/>
          <w:color w:val="000000"/>
          <w:lang w:eastAsia="sk-SK"/>
        </w:rPr>
        <w:t>pandemickú</w:t>
      </w:r>
      <w:proofErr w:type="spellEnd"/>
      <w:r w:rsidRPr="00B91DF0">
        <w:rPr>
          <w:rFonts w:ascii="Arial" w:eastAsia="Times New Roman" w:hAnsi="Arial" w:cs="Arial"/>
          <w:b/>
          <w:bCs/>
          <w:color w:val="000000"/>
          <w:lang w:eastAsia="sk-SK"/>
        </w:rPr>
        <w:t xml:space="preserve"> OČR stačí a kedy nie?</w:t>
      </w:r>
    </w:p>
    <w:p w:rsidR="00B91DF0" w:rsidRPr="00B91DF0" w:rsidRDefault="00B91DF0" w:rsidP="00B91DF0">
      <w:pPr>
        <w:shd w:val="clear" w:color="auto" w:fill="FFFFFF"/>
        <w:spacing w:after="240" w:line="324" w:lineRule="atLeast"/>
        <w:jc w:val="both"/>
        <w:rPr>
          <w:rFonts w:ascii="Arial" w:eastAsia="Times New Roman" w:hAnsi="Arial" w:cs="Arial"/>
          <w:color w:val="000000"/>
          <w:lang w:eastAsia="sk-SK"/>
        </w:rPr>
      </w:pPr>
      <w:r w:rsidRPr="00B91DF0">
        <w:rPr>
          <w:rFonts w:ascii="Arial" w:eastAsia="Times New Roman" w:hAnsi="Arial" w:cs="Arial"/>
          <w:color w:val="000000"/>
          <w:lang w:eastAsia="sk-SK"/>
        </w:rPr>
        <w:t xml:space="preserve">Sociálna poisťovňa opätovne pripomína, že z dôvodu starostlivosti o dieťa vzniká nárok na dávku </w:t>
      </w:r>
      <w:proofErr w:type="spellStart"/>
      <w:r w:rsidRPr="00B91DF0">
        <w:rPr>
          <w:rFonts w:ascii="Arial" w:eastAsia="Times New Roman" w:hAnsi="Arial" w:cs="Arial"/>
          <w:color w:val="000000"/>
          <w:lang w:eastAsia="sk-SK"/>
        </w:rPr>
        <w:t>pandemické</w:t>
      </w:r>
      <w:proofErr w:type="spellEnd"/>
      <w:r w:rsidRPr="00B91DF0">
        <w:rPr>
          <w:rFonts w:ascii="Arial" w:eastAsia="Times New Roman" w:hAnsi="Arial" w:cs="Arial"/>
          <w:color w:val="000000"/>
          <w:lang w:eastAsia="sk-SK"/>
        </w:rPr>
        <w:t xml:space="preserve"> ošetrovné iba vtedy, ak je škola uzatvorená alebo má obmedzenú prevádzku na základe rozhodnutia príslušného orgánu a iba počas obdobia uvedenom v rozhodnutí príslušného orgánu o jej uzatvorení.</w:t>
      </w:r>
    </w:p>
    <w:p w:rsidR="00B91DF0" w:rsidRPr="00B91DF0" w:rsidRDefault="00B91DF0" w:rsidP="00B91DF0">
      <w:pPr>
        <w:shd w:val="clear" w:color="auto" w:fill="FFFFFF"/>
        <w:spacing w:after="240" w:line="324" w:lineRule="atLeast"/>
        <w:jc w:val="both"/>
        <w:rPr>
          <w:rFonts w:ascii="Arial" w:eastAsia="Times New Roman" w:hAnsi="Arial" w:cs="Arial"/>
          <w:color w:val="000000"/>
          <w:lang w:eastAsia="sk-SK"/>
        </w:rPr>
      </w:pPr>
      <w:r w:rsidRPr="00B91DF0">
        <w:rPr>
          <w:rFonts w:ascii="Arial" w:eastAsia="Times New Roman" w:hAnsi="Arial" w:cs="Arial"/>
          <w:color w:val="000000"/>
          <w:lang w:eastAsia="sk-SK"/>
        </w:rPr>
        <w:t xml:space="preserve">Sociálna poisťovňa sa v praxi stretla s prípadmi, keď sa rodičia domnievali, že im stačí potvrdenie zo školy o tom, že sa ich dieťa vzdeláva distančne. Pri dištančnom vzdelávaní však môžu nastať dve rôzne životné situácie – ak je škola otvorená bez obmedzení a rodič nedá dieťa do školy len z vlastnej obavy pred nákazou, potvrdenie o dištančnom vzdelávaní nestačí na priznanie nároku na </w:t>
      </w:r>
      <w:proofErr w:type="spellStart"/>
      <w:r w:rsidRPr="00B91DF0">
        <w:rPr>
          <w:rFonts w:ascii="Arial" w:eastAsia="Times New Roman" w:hAnsi="Arial" w:cs="Arial"/>
          <w:color w:val="000000"/>
          <w:lang w:eastAsia="sk-SK"/>
        </w:rPr>
        <w:t>pandemické</w:t>
      </w:r>
      <w:proofErr w:type="spellEnd"/>
      <w:r w:rsidRPr="00B91DF0">
        <w:rPr>
          <w:rFonts w:ascii="Arial" w:eastAsia="Times New Roman" w:hAnsi="Arial" w:cs="Arial"/>
          <w:color w:val="000000"/>
          <w:lang w:eastAsia="sk-SK"/>
        </w:rPr>
        <w:t xml:space="preserve"> ošetrovné. Rodičovi nárok na túto dávku nevznikne.</w:t>
      </w:r>
    </w:p>
    <w:p w:rsidR="00B91DF0" w:rsidRPr="00B91DF0" w:rsidRDefault="00B91DF0" w:rsidP="00B91DF0">
      <w:pPr>
        <w:shd w:val="clear" w:color="auto" w:fill="FFFFFF"/>
        <w:spacing w:after="240" w:line="324" w:lineRule="atLeast"/>
        <w:jc w:val="both"/>
        <w:rPr>
          <w:rFonts w:ascii="Arial" w:eastAsia="Times New Roman" w:hAnsi="Arial" w:cs="Arial"/>
          <w:color w:val="000000"/>
          <w:lang w:eastAsia="sk-SK"/>
        </w:rPr>
      </w:pPr>
      <w:r w:rsidRPr="00B91DF0">
        <w:rPr>
          <w:rFonts w:ascii="Arial" w:eastAsia="Times New Roman" w:hAnsi="Arial" w:cs="Arial"/>
          <w:color w:val="000000"/>
          <w:lang w:eastAsia="sk-SK"/>
        </w:rPr>
        <w:t xml:space="preserve">Potvrdenie o dištančnom vzdelávaní bude rodičovi stačiť len vtedy, ak je prevádzka školy obmedzená rozhodnutím príslušného orgánu. Napríklad ak niektoré školy zriaďovateľ svojim nariadením otvoril tak, že obmedzil rozsah prezenčnej výučby, tzn. niektorým žiakom z prevádzkových dôvodov neumožnil prezenčnú formu výučby. Týmto žiakom musí škola poskytnúť dištančnú formu vzdelávania, o čom vydá rodičovi žiaka potvrdenie. V takomto prípade pri obmedzenej prevádzke školy rozhodnutím príslušného orgánu rodičovi nárok na </w:t>
      </w:r>
      <w:proofErr w:type="spellStart"/>
      <w:r w:rsidRPr="00B91DF0">
        <w:rPr>
          <w:rFonts w:ascii="Arial" w:eastAsia="Times New Roman" w:hAnsi="Arial" w:cs="Arial"/>
          <w:color w:val="000000"/>
          <w:lang w:eastAsia="sk-SK"/>
        </w:rPr>
        <w:t>pandemickú</w:t>
      </w:r>
      <w:proofErr w:type="spellEnd"/>
      <w:r w:rsidRPr="00B91DF0">
        <w:rPr>
          <w:rFonts w:ascii="Arial" w:eastAsia="Times New Roman" w:hAnsi="Arial" w:cs="Arial"/>
          <w:color w:val="000000"/>
          <w:lang w:eastAsia="sk-SK"/>
        </w:rPr>
        <w:t xml:space="preserve"> OČR vznikne.</w:t>
      </w:r>
    </w:p>
    <w:p w:rsidR="00B91DF0" w:rsidRPr="00B91DF0" w:rsidRDefault="00B91DF0" w:rsidP="00B91DF0">
      <w:pPr>
        <w:shd w:val="clear" w:color="auto" w:fill="FFFFFF"/>
        <w:spacing w:after="240" w:line="324" w:lineRule="atLeast"/>
        <w:jc w:val="both"/>
        <w:rPr>
          <w:rFonts w:ascii="Arial" w:eastAsia="Times New Roman" w:hAnsi="Arial" w:cs="Arial"/>
          <w:color w:val="000000"/>
          <w:lang w:eastAsia="sk-SK"/>
        </w:rPr>
      </w:pPr>
      <w:r w:rsidRPr="00B91DF0">
        <w:rPr>
          <w:rFonts w:ascii="Arial" w:eastAsia="Times New Roman" w:hAnsi="Arial" w:cs="Arial"/>
          <w:color w:val="000000"/>
          <w:lang w:eastAsia="sk-SK"/>
        </w:rPr>
        <w:t>Príslušným orgánom, ktorý môže prevádzku školy uzavrieť alebo obmedziť, je buď minister školstva, zriaďovateľ, riaditeľ školy alebo hygienik.</w:t>
      </w:r>
    </w:p>
    <w:p w:rsidR="00C328C7" w:rsidRDefault="00C328C7"/>
    <w:sectPr w:rsidR="00C32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F0"/>
    <w:rsid w:val="00B91DF0"/>
    <w:rsid w:val="00C328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77DF-5BE4-4AF3-87C3-6CC55B00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javascript:print_page('/aktualne-informacie-socialnej-poistovne-k-pandemickej-ocr--oznam/mid/405616/.html#m_405616',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2021-03-01T16:46:00Z</dcterms:created>
  <dcterms:modified xsi:type="dcterms:W3CDTF">2021-03-01T16:47:00Z</dcterms:modified>
</cp:coreProperties>
</file>